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 📦 Expanded Material Inventory - Pneumatic spooler assembly - High-tensile electro-fiber wire (30m coils) - Compact lithium-ion battery (terrain-sealed casing) - Magnetic guidance heads (ferrous-core, tip-mounted) - Capacitor discharge module (miniaturized) - EMP spike unit (localized pulse variant) - Infrared proximity sensor array - Acoustic shimmer detector - Terrain camouflage mesh (synthetic crust blend) - Vegetation overlay (bio-synthetic mix) - Electromagnetic shielding wrap - Micro-guidance fins (tip-mounted, directional) - Solar trickle charger (terrain-integrated) - Kinetic recharge plate (vibration-sensitive) - Deployment casing (pressure-insensitive shell) - EM frequency burst emitter (terrain-synced) - Military-grade signal booster (radius amplification module) - Aftershock propagation coil (40m tuned extension) - Pulse modulation chip (sorted shimmer targeting) - Terrain sync node (hover shimmer calibration)</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18–28 drones per trap</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Below is a </w:t>
      </w:r>
      <w:r w:rsidDel="00000000" w:rsidR="00000000" w:rsidRPr="00000000">
        <w:rPr>
          <w:b w:val="1"/>
          <w:bCs w:val="1"/>
          <w:rtl w:val="0"/>
        </w:rPr>
        <w:t xml:space="preserve">high‑level, non‑lethal overview</w:t>
      </w:r>
      <w:r w:rsidDel="00000000" w:rsidR="00000000" w:rsidRPr="00000000">
        <w:rPr>
          <w:rtl w:val="0"/>
        </w:rPr>
        <w:t xml:space="preserve"> of how the pneumatic‑spooler assembly you listed could be used as a </w:t>
      </w:r>
      <w:r w:rsidDel="00000000" w:rsidR="00000000" w:rsidRPr="00000000">
        <w:rPr>
          <w:b w:val="1"/>
          <w:bCs w:val="1"/>
          <w:rtl w:val="0"/>
        </w:rPr>
        <w:t xml:space="preserve">drone‑capture / drone‑management platform</w:t>
      </w:r>
      <w:r w:rsidDel="00000000" w:rsidR="00000000" w:rsidRPr="00000000">
        <w:rPr>
          <w:rtl w:val="0"/>
        </w:rPr>
        <w:t xml:space="preserve">.</w:t>
      </w:r>
    </w:p>
    <w:p w:rsidR="00000000" w:rsidDel="00000000" w:rsidP="00000000" w:rsidRDefault="00000000" w:rsidRPr="00000000" w14:paraId="00000006">
      <w:pPr>
        <w:rPr/>
      </w:pPr>
      <w:r w:rsidDel="00000000" w:rsidR="00000000" w:rsidRPr="00000000">
        <w:rPr>
          <w:rtl w:val="0"/>
        </w:rPr>
        <w:t xml:space="preserve">All functional descriptions are framed around </w:t>
      </w:r>
      <w:r w:rsidDel="00000000" w:rsidR="00000000" w:rsidRPr="00000000">
        <w:rPr>
          <w:b w:val="1"/>
          <w:bCs w:val="1"/>
          <w:rtl w:val="0"/>
        </w:rPr>
        <w:t xml:space="preserve">tracking, guiding, and safely disabling or retrieving drones</w:t>
      </w:r>
      <w:r w:rsidDel="00000000" w:rsidR="00000000" w:rsidRPr="00000000">
        <w:rPr>
          <w:rtl w:val="0"/>
        </w:rPr>
        <w:t xml:space="preserve">, without detailing any destructive or weapon‑focused procedures.</w:t>
      </w:r>
    </w:p>
    <w:tbl>
      <w:tblPr>
        <w:tblStyle w:val="Table1"/>
        <w:tblW w:w="9360.0" w:type="dxa"/>
        <w:jc w:val="left"/>
        <w:tblLayout w:type="fixed"/>
        <w:tblLook w:val="0600"/>
      </w:tblPr>
      <w:tblGrid>
        <w:gridCol w:w="2191.7757009345796"/>
        <w:gridCol w:w="4801.4953271028035"/>
        <w:gridCol w:w="2366.728971962617"/>
        <w:tblGridChange w:id="0">
          <w:tblGrid>
            <w:gridCol w:w="2191.7757009345796"/>
            <w:gridCol w:w="4801.4953271028035"/>
            <w:gridCol w:w="2366.728971962617"/>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rPr/>
            </w:pPr>
            <w:r w:rsidDel="00000000" w:rsidR="00000000" w:rsidRPr="00000000">
              <w:rPr>
                <w:rtl w:val="0"/>
              </w:rPr>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0A">
            <w:pPr>
              <w:rPr/>
            </w:pPr>
            <w:r w:rsidDel="00000000" w:rsidR="00000000" w:rsidRPr="00000000">
              <w:rPr>
                <w:rtl w:val="0"/>
              </w:rPr>
              <w:t xml:space="preserve">Step</w:t>
            </w:r>
          </w:p>
        </w:tc>
        <w:tc>
          <w:tcPr>
            <w:tcMar>
              <w:top w:w="100.0" w:type="dxa"/>
              <w:left w:w="100.0" w:type="dxa"/>
              <w:bottom w:w="100.0" w:type="dxa"/>
              <w:right w:w="100.0" w:type="dxa"/>
            </w:tcMar>
            <w:vAlign w:val="top"/>
          </w:tcPr>
          <w:p w:rsidR="00000000" w:rsidDel="00000000" w:rsidP="00000000" w:rsidRDefault="00000000" w:rsidRPr="00000000" w14:paraId="0000000B">
            <w:pPr>
              <w:rPr/>
            </w:pPr>
            <w:r w:rsidDel="00000000" w:rsidR="00000000" w:rsidRPr="00000000">
              <w:rPr>
                <w:rtl w:val="0"/>
              </w:rPr>
              <w:t xml:space="preserve">What happens</w:t>
            </w:r>
          </w:p>
        </w:tc>
        <w:tc>
          <w:tcPr>
            <w:tcMar>
              <w:top w:w="100.0" w:type="dxa"/>
              <w:left w:w="100.0" w:type="dxa"/>
              <w:bottom w:w="100.0" w:type="dxa"/>
              <w:right w:w="100.0" w:type="dxa"/>
            </w:tcMar>
            <w:vAlign w:val="top"/>
          </w:tcPr>
          <w:p w:rsidR="00000000" w:rsidDel="00000000" w:rsidP="00000000" w:rsidRDefault="00000000" w:rsidRPr="00000000" w14:paraId="0000000C">
            <w:pPr>
              <w:rPr/>
            </w:pPr>
            <w:r w:rsidDel="00000000" w:rsidR="00000000" w:rsidRPr="00000000">
              <w:rPr>
                <w:rtl w:val="0"/>
              </w:rPr>
              <w:t xml:space="preserve">Key components involved</w:t>
            </w:r>
          </w:p>
        </w:tc>
      </w:tr>
      <w:tr>
        <w:trPr>
          <w:cantSplit w:val="0"/>
          <w:trHeight w:val="1655" w:hRule="atLeast"/>
          <w:tblHeader w:val="0"/>
        </w:trPr>
        <w:tc>
          <w:tcPr>
            <w:tcMar>
              <w:top w:w="100.0" w:type="dxa"/>
              <w:left w:w="100.0" w:type="dxa"/>
              <w:bottom w:w="100.0" w:type="dxa"/>
              <w:right w:w="100.0" w:type="dxa"/>
            </w:tcMar>
            <w:vAlign w:val="top"/>
          </w:tcPr>
          <w:p w:rsidR="00000000" w:rsidDel="00000000" w:rsidP="00000000" w:rsidRDefault="00000000" w:rsidRPr="00000000" w14:paraId="0000000D">
            <w:pPr>
              <w:rPr/>
            </w:pPr>
            <w:r w:rsidDel="00000000" w:rsidR="00000000" w:rsidRPr="00000000">
              <w:rPr>
                <w:b w:val="1"/>
                <w:bCs w:val="1"/>
                <w:rtl w:val="0"/>
              </w:rPr>
              <w:t xml:space="preserve">1. Launch</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0E">
            <w:pPr>
              <w:rPr/>
            </w:pPr>
            <w:r w:rsidDel="00000000" w:rsidR="00000000" w:rsidRPr="00000000">
              <w:rPr>
                <w:rtl w:val="0"/>
              </w:rPr>
              <w:t xml:space="preserve">A short‑burst of compressed air pushes a </w:t>
            </w:r>
            <w:r w:rsidDel="00000000" w:rsidR="00000000" w:rsidRPr="00000000">
              <w:rPr>
                <w:b w:val="1"/>
                <w:bCs w:val="1"/>
                <w:rtl w:val="0"/>
              </w:rPr>
              <w:t xml:space="preserve">compact drone‑carrier pod</w:t>
            </w:r>
            <w:r w:rsidDel="00000000" w:rsidR="00000000" w:rsidRPr="00000000">
              <w:rPr>
                <w:rtl w:val="0"/>
              </w:rPr>
              <w:t xml:space="preserve"> out of the </w:t>
            </w:r>
            <w:r w:rsidDel="00000000" w:rsidR="00000000" w:rsidRPr="00000000">
              <w:rPr>
                <w:b w:val="1"/>
                <w:bCs w:val="1"/>
                <w:rtl w:val="0"/>
              </w:rPr>
              <w:t xml:space="preserve">deployment casing</w:t>
            </w:r>
            <w:r w:rsidDel="00000000" w:rsidR="00000000" w:rsidRPr="00000000">
              <w:rPr>
                <w:rtl w:val="0"/>
              </w:rPr>
              <w:t xml:space="preserve">. The pod is sealed in a pressure‑insensitive shell to protect the electronics until it clears the launch area.</w:t>
            </w:r>
          </w:p>
        </w:tc>
        <w:tc>
          <w:tcPr>
            <w:tcMar>
              <w:top w:w="100.0" w:type="dxa"/>
              <w:left w:w="100.0" w:type="dxa"/>
              <w:bottom w:w="100.0" w:type="dxa"/>
              <w:right w:w="100.0" w:type="dxa"/>
            </w:tcMar>
            <w:vAlign w:val="top"/>
          </w:tcPr>
          <w:p w:rsidR="00000000" w:rsidDel="00000000" w:rsidP="00000000" w:rsidRDefault="00000000" w:rsidRPr="00000000" w14:paraId="0000000F">
            <w:pPr>
              <w:rPr/>
            </w:pPr>
            <w:r w:rsidDel="00000000" w:rsidR="00000000" w:rsidRPr="00000000">
              <w:rPr>
                <w:rtl w:val="0"/>
              </w:rPr>
              <w:t xml:space="preserve">Pneumatic spooler, compact Li‑ion battery (terrain‑sealed), deployment casing</w:t>
            </w:r>
          </w:p>
        </w:tc>
      </w:tr>
      <w:tr>
        <w:trPr>
          <w:cantSplit w:val="0"/>
          <w:trHeight w:val="1940" w:hRule="atLeast"/>
          <w:tblHeader w:val="0"/>
        </w:trPr>
        <w:tc>
          <w:tcPr>
            <w:tcMar>
              <w:top w:w="100.0" w:type="dxa"/>
              <w:left w:w="100.0" w:type="dxa"/>
              <w:bottom w:w="100.0" w:type="dxa"/>
              <w:right w:w="100.0" w:type="dxa"/>
            </w:tcMar>
            <w:vAlign w:val="top"/>
          </w:tcPr>
          <w:p w:rsidR="00000000" w:rsidDel="00000000" w:rsidP="00000000" w:rsidRDefault="00000000" w:rsidRPr="00000000" w14:paraId="00000010">
            <w:pPr>
              <w:rPr/>
            </w:pPr>
            <w:r w:rsidDel="00000000" w:rsidR="00000000" w:rsidRPr="00000000">
              <w:rPr>
                <w:b w:val="1"/>
                <w:bCs w:val="1"/>
                <w:rtl w:val="0"/>
              </w:rPr>
              <w:t xml:space="preserve">2. Initial Guidance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11">
            <w:pPr>
              <w:rPr/>
            </w:pPr>
            <w:r w:rsidDel="00000000" w:rsidR="00000000" w:rsidRPr="00000000">
              <w:rPr>
                <w:rtl w:val="0"/>
              </w:rPr>
              <w:t xml:space="preserve">As the pod leaves the launcher, the </w:t>
            </w:r>
            <w:r w:rsidDel="00000000" w:rsidR="00000000" w:rsidRPr="00000000">
              <w:rPr>
                <w:b w:val="1"/>
                <w:bCs w:val="1"/>
                <w:rtl w:val="0"/>
              </w:rPr>
              <w:t xml:space="preserve">magnetic guidance heads</w:t>
            </w:r>
            <w:r w:rsidDel="00000000" w:rsidR="00000000" w:rsidRPr="00000000">
              <w:rPr>
                <w:rtl w:val="0"/>
              </w:rPr>
              <w:t xml:space="preserve"> (ferrous‑core tips) align the pod with any ferromagnetic markers placed on the target drone or on a pre‑defined flight corridor. This gives the pod a first‑order direction without needing GPS.</w:t>
            </w:r>
          </w:p>
        </w:tc>
        <w:tc>
          <w:tcPr>
            <w:tcMar>
              <w:top w:w="100.0" w:type="dxa"/>
              <w:left w:w="100.0" w:type="dxa"/>
              <w:bottom w:w="100.0" w:type="dxa"/>
              <w:right w:w="100.0" w:type="dxa"/>
            </w:tcMar>
            <w:vAlign w:val="top"/>
          </w:tcPr>
          <w:p w:rsidR="00000000" w:rsidDel="00000000" w:rsidP="00000000" w:rsidRDefault="00000000" w:rsidRPr="00000000" w14:paraId="00000012">
            <w:pPr>
              <w:rPr/>
            </w:pPr>
            <w:r w:rsidDel="00000000" w:rsidR="00000000" w:rsidRPr="00000000">
              <w:rPr>
                <w:rtl w:val="0"/>
              </w:rPr>
              <w:t xml:space="preserve">Magnetic guidance heads, micro‑guidance fins</w:t>
            </w:r>
          </w:p>
        </w:tc>
      </w:tr>
      <w:tr>
        <w:trPr>
          <w:cantSplit w:val="0"/>
          <w:trHeight w:val="1940" w:hRule="atLeast"/>
          <w:tblHeader w:val="0"/>
        </w:trPr>
        <w:tc>
          <w:tcPr>
            <w:tcMar>
              <w:top w:w="100.0" w:type="dxa"/>
              <w:left w:w="100.0" w:type="dxa"/>
              <w:bottom w:w="100.0" w:type="dxa"/>
              <w:right w:w="100.0" w:type="dxa"/>
            </w:tcMar>
            <w:vAlign w:val="top"/>
          </w:tcPr>
          <w:p w:rsidR="00000000" w:rsidDel="00000000" w:rsidP="00000000" w:rsidRDefault="00000000" w:rsidRPr="00000000" w14:paraId="00000013">
            <w:pPr>
              <w:rPr/>
            </w:pPr>
            <w:r w:rsidDel="00000000" w:rsidR="00000000" w:rsidRPr="00000000">
              <w:rPr>
                <w:b w:val="1"/>
                <w:bCs w:val="1"/>
                <w:rtl w:val="0"/>
              </w:rPr>
              <w:t xml:space="preserve">3. Mid‑flight Navigation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14">
            <w:pPr>
              <w:rPr/>
            </w:pPr>
            <w:r w:rsidDel="00000000" w:rsidR="00000000" w:rsidRPr="00000000">
              <w:rPr>
                <w:rtl w:val="0"/>
              </w:rPr>
              <w:t xml:space="preserve">An onboard </w:t>
            </w:r>
            <w:r w:rsidDel="00000000" w:rsidR="00000000" w:rsidRPr="00000000">
              <w:rPr>
                <w:b w:val="1"/>
                <w:bCs w:val="1"/>
                <w:rtl w:val="0"/>
              </w:rPr>
              <w:t xml:space="preserve">infrared proximity sensor array</w:t>
            </w:r>
            <w:r w:rsidDel="00000000" w:rsidR="00000000" w:rsidRPr="00000000">
              <w:rPr>
                <w:rtl w:val="0"/>
              </w:rPr>
              <w:t xml:space="preserve"> constantly scans the surrounding air. When it detects the heat signature of a nearby drone, it signals the </w:t>
            </w:r>
            <w:r w:rsidDel="00000000" w:rsidR="00000000" w:rsidRPr="00000000">
              <w:rPr>
                <w:b w:val="1"/>
                <w:bCs w:val="1"/>
                <w:rtl w:val="0"/>
              </w:rPr>
              <w:t xml:space="preserve">pulse‑modulation chip</w:t>
            </w:r>
            <w:r w:rsidDel="00000000" w:rsidR="00000000" w:rsidRPr="00000000">
              <w:rPr>
                <w:rtl w:val="0"/>
              </w:rPr>
              <w:t xml:space="preserve">, which adjusts the micro‑guidance fins to steer the pod toward the drone’s flight path.</w:t>
            </w:r>
          </w:p>
        </w:tc>
        <w:tc>
          <w:tcPr>
            <w:tcMar>
              <w:top w:w="100.0" w:type="dxa"/>
              <w:left w:w="100.0" w:type="dxa"/>
              <w:bottom w:w="100.0" w:type="dxa"/>
              <w:right w:w="100.0" w:type="dxa"/>
            </w:tcMar>
            <w:vAlign w:val="top"/>
          </w:tcPr>
          <w:p w:rsidR="00000000" w:rsidDel="00000000" w:rsidP="00000000" w:rsidRDefault="00000000" w:rsidRPr="00000000" w14:paraId="00000015">
            <w:pPr>
              <w:rPr/>
            </w:pPr>
            <w:r w:rsidDel="00000000" w:rsidR="00000000" w:rsidRPr="00000000">
              <w:rPr>
                <w:rtl w:val="0"/>
              </w:rPr>
              <w:t xml:space="preserve">Infrared proximity sensor array, pulse‑modulation chip, micro‑guidance fins</w:t>
            </w:r>
          </w:p>
        </w:tc>
      </w:tr>
      <w:tr>
        <w:trPr>
          <w:cantSplit w:val="0"/>
          <w:trHeight w:val="2225" w:hRule="atLeast"/>
          <w:tblHeader w:val="0"/>
        </w:trPr>
        <w:tc>
          <w:tcPr>
            <w:tcMar>
              <w:top w:w="100.0" w:type="dxa"/>
              <w:left w:w="100.0" w:type="dxa"/>
              <w:bottom w:w="100.0" w:type="dxa"/>
              <w:right w:w="100.0" w:type="dxa"/>
            </w:tcMar>
            <w:vAlign w:val="top"/>
          </w:tcPr>
          <w:p w:rsidR="00000000" w:rsidDel="00000000" w:rsidP="00000000" w:rsidRDefault="00000000" w:rsidRPr="00000000" w14:paraId="00000016">
            <w:pPr>
              <w:rPr/>
            </w:pPr>
            <w:r w:rsidDel="00000000" w:rsidR="00000000" w:rsidRPr="00000000">
              <w:rPr>
                <w:b w:val="1"/>
                <w:bCs w:val="1"/>
                <w:rtl w:val="0"/>
              </w:rPr>
              <w:t xml:space="preserve">4. Terrain‑Adaptive Camouflage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17">
            <w:pPr>
              <w:rPr/>
            </w:pPr>
            <w:r w:rsidDel="00000000" w:rsidR="00000000" w:rsidRPr="00000000">
              <w:rPr>
                <w:rtl w:val="0"/>
              </w:rPr>
              <w:t xml:space="preserve">While the pod is in flight, the </w:t>
            </w:r>
            <w:r w:rsidDel="00000000" w:rsidR="00000000" w:rsidRPr="00000000">
              <w:rPr>
                <w:b w:val="1"/>
                <w:bCs w:val="1"/>
                <w:rtl w:val="0"/>
              </w:rPr>
              <w:t xml:space="preserve">terrain camouflage mesh</w:t>
            </w:r>
            <w:r w:rsidDel="00000000" w:rsidR="00000000" w:rsidRPr="00000000">
              <w:rPr>
                <w:rtl w:val="0"/>
              </w:rPr>
              <w:t xml:space="preserve"> (synthetic crust blend) and </w:t>
            </w:r>
            <w:r w:rsidDel="00000000" w:rsidR="00000000" w:rsidRPr="00000000">
              <w:rPr>
                <w:b w:val="1"/>
                <w:bCs w:val="1"/>
                <w:rtl w:val="0"/>
              </w:rPr>
              <w:t xml:space="preserve">vegetation overlay</w:t>
            </w:r>
            <w:r w:rsidDel="00000000" w:rsidR="00000000" w:rsidRPr="00000000">
              <w:rPr>
                <w:rtl w:val="0"/>
              </w:rPr>
              <w:t xml:space="preserve"> (bio‑synthetic mix) unfold around the exterior. This reduces visual and radar signatures, making the pod harder for the target drone’s onboard avoidance algorithms to spot.</w:t>
            </w:r>
          </w:p>
        </w:tc>
        <w:tc>
          <w:tcPr>
            <w:tcMar>
              <w:top w:w="100.0" w:type="dxa"/>
              <w:left w:w="100.0" w:type="dxa"/>
              <w:bottom w:w="100.0" w:type="dxa"/>
              <w:right w:w="100.0" w:type="dxa"/>
            </w:tcMar>
            <w:vAlign w:val="top"/>
          </w:tcPr>
          <w:p w:rsidR="00000000" w:rsidDel="00000000" w:rsidP="00000000" w:rsidRDefault="00000000" w:rsidRPr="00000000" w14:paraId="00000018">
            <w:pPr>
              <w:rPr/>
            </w:pPr>
            <w:r w:rsidDel="00000000" w:rsidR="00000000" w:rsidRPr="00000000">
              <w:rPr>
                <w:rtl w:val="0"/>
              </w:rPr>
              <w:t xml:space="preserve">Terrain camouflage mesh, vegetation overlay</w:t>
            </w:r>
          </w:p>
        </w:tc>
      </w:tr>
      <w:tr>
        <w:trPr>
          <w:cantSplit w:val="0"/>
          <w:trHeight w:val="1655" w:hRule="atLeast"/>
          <w:tblHeader w:val="0"/>
        </w:trPr>
        <w:tc>
          <w:tcPr>
            <w:tcMar>
              <w:top w:w="100.0" w:type="dxa"/>
              <w:left w:w="100.0" w:type="dxa"/>
              <w:bottom w:w="100.0" w:type="dxa"/>
              <w:right w:w="100.0" w:type="dxa"/>
            </w:tcMar>
            <w:vAlign w:val="top"/>
          </w:tcPr>
          <w:p w:rsidR="00000000" w:rsidDel="00000000" w:rsidP="00000000" w:rsidRDefault="00000000" w:rsidRPr="00000000" w14:paraId="00000019">
            <w:pPr>
              <w:rPr/>
            </w:pPr>
            <w:r w:rsidDel="00000000" w:rsidR="00000000" w:rsidRPr="00000000">
              <w:rPr>
                <w:b w:val="1"/>
                <w:bCs w:val="1"/>
                <w:rtl w:val="0"/>
              </w:rPr>
              <w:t xml:space="preserve">5. Close‑range Detection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1A">
            <w:pPr>
              <w:rPr/>
            </w:pPr>
            <w:r w:rsidDel="00000000" w:rsidR="00000000" w:rsidRPr="00000000">
              <w:rPr>
                <w:rtl w:val="0"/>
              </w:rPr>
              <w:t xml:space="preserve">When the pod comes within a few meters of the target, the </w:t>
            </w:r>
            <w:r w:rsidDel="00000000" w:rsidR="00000000" w:rsidRPr="00000000">
              <w:rPr>
                <w:b w:val="1"/>
                <w:bCs w:val="1"/>
                <w:rtl w:val="0"/>
              </w:rPr>
              <w:t xml:space="preserve">acoustic shimmer detector</w:t>
            </w:r>
            <w:r w:rsidDel="00000000" w:rsidR="00000000" w:rsidRPr="00000000">
              <w:rPr>
                <w:rtl w:val="0"/>
              </w:rPr>
              <w:t xml:space="preserve"> picks up the characteristic rotor/prop wash frequencies of the drone. This secondary cue confirms that the pod is on target.</w:t>
            </w:r>
          </w:p>
        </w:tc>
        <w:tc>
          <w:tcPr>
            <w:tcMar>
              <w:top w:w="100.0" w:type="dxa"/>
              <w:left w:w="100.0" w:type="dxa"/>
              <w:bottom w:w="100.0" w:type="dxa"/>
              <w:right w:w="100.0" w:type="dxa"/>
            </w:tcMar>
            <w:vAlign w:val="top"/>
          </w:tcPr>
          <w:p w:rsidR="00000000" w:rsidDel="00000000" w:rsidP="00000000" w:rsidRDefault="00000000" w:rsidRPr="00000000" w14:paraId="0000001B">
            <w:pPr>
              <w:rPr/>
            </w:pPr>
            <w:r w:rsidDel="00000000" w:rsidR="00000000" w:rsidRPr="00000000">
              <w:rPr>
                <w:rtl w:val="0"/>
              </w:rPr>
              <w:t xml:space="preserve">Acoustic shimmer detector</w:t>
            </w:r>
          </w:p>
        </w:tc>
      </w:tr>
      <w:tr>
        <w:trPr>
          <w:cantSplit w:val="0"/>
          <w:trHeight w:val="2510" w:hRule="atLeast"/>
          <w:tblHeader w:val="0"/>
        </w:trPr>
        <w:tc>
          <w:tcPr>
            <w:tcMar>
              <w:top w:w="100.0" w:type="dxa"/>
              <w:left w:w="100.0" w:type="dxa"/>
              <w:bottom w:w="100.0" w:type="dxa"/>
              <w:right w:w="100.0" w:type="dxa"/>
            </w:tcMar>
            <w:vAlign w:val="top"/>
          </w:tcPr>
          <w:p w:rsidR="00000000" w:rsidDel="00000000" w:rsidP="00000000" w:rsidRDefault="00000000" w:rsidRPr="00000000" w14:paraId="0000001C">
            <w:pPr>
              <w:rPr/>
            </w:pPr>
            <w:r w:rsidDel="00000000" w:rsidR="00000000" w:rsidRPr="00000000">
              <w:rPr>
                <w:b w:val="1"/>
                <w:bCs w:val="1"/>
                <w:rtl w:val="0"/>
              </w:rPr>
              <w:t xml:space="preserve">6. Electronic Interference (non‑destructive)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1D">
            <w:pPr>
              <w:rPr/>
            </w:pPr>
            <w:r w:rsidDel="00000000" w:rsidR="00000000" w:rsidRPr="00000000">
              <w:rPr>
                <w:rtl w:val="0"/>
              </w:rPr>
              <w:t xml:space="preserve">Rather than firing a lethal blast, the pod activates a </w:t>
            </w:r>
            <w:r w:rsidDel="00000000" w:rsidR="00000000" w:rsidRPr="00000000">
              <w:rPr>
                <w:b w:val="1"/>
                <w:bCs w:val="1"/>
                <w:rtl w:val="0"/>
              </w:rPr>
              <w:t xml:space="preserve">localized EMP spike unit</w:t>
            </w:r>
            <w:r w:rsidDel="00000000" w:rsidR="00000000" w:rsidRPr="00000000">
              <w:rPr>
                <w:rtl w:val="0"/>
              </w:rPr>
              <w:t xml:space="preserve"> that emits a brief, low‑energy electromagnetic burst. The burst is calibrated to </w:t>
            </w:r>
            <w:r w:rsidDel="00000000" w:rsidR="00000000" w:rsidRPr="00000000">
              <w:rPr>
                <w:b w:val="1"/>
                <w:bCs w:val="1"/>
                <w:rtl w:val="0"/>
              </w:rPr>
              <w:t xml:space="preserve">temporarily disrupt the target drone’s control electronics</w:t>
            </w:r>
            <w:r w:rsidDel="00000000" w:rsidR="00000000" w:rsidRPr="00000000">
              <w:rPr>
                <w:rtl w:val="0"/>
              </w:rPr>
              <w:t xml:space="preserve"> (e.g., GPS lock, telemetry link) without permanently damaging the airframe. The short pulse creates a safe window for capture.</w:t>
            </w:r>
          </w:p>
        </w:tc>
        <w:tc>
          <w:tcPr>
            <w:tcMar>
              <w:top w:w="100.0" w:type="dxa"/>
              <w:left w:w="100.0" w:type="dxa"/>
              <w:bottom w:w="100.0" w:type="dxa"/>
              <w:right w:w="100.0" w:type="dxa"/>
            </w:tcMar>
            <w:vAlign w:val="top"/>
          </w:tcPr>
          <w:p w:rsidR="00000000" w:rsidDel="00000000" w:rsidP="00000000" w:rsidRDefault="00000000" w:rsidRPr="00000000" w14:paraId="0000001E">
            <w:pPr>
              <w:rPr/>
            </w:pPr>
            <w:r w:rsidDel="00000000" w:rsidR="00000000" w:rsidRPr="00000000">
              <w:rPr>
                <w:rtl w:val="0"/>
              </w:rPr>
              <w:t xml:space="preserve">EMP spike unit (localized pulse variant), capacitor discharge module</w:t>
            </w:r>
          </w:p>
        </w:tc>
      </w:tr>
      <w:tr>
        <w:trPr>
          <w:cantSplit w:val="0"/>
          <w:trHeight w:val="2225" w:hRule="atLeast"/>
          <w:tblHeader w:val="0"/>
        </w:trPr>
        <w:tc>
          <w:tcPr>
            <w:tcMar>
              <w:top w:w="100.0" w:type="dxa"/>
              <w:left w:w="100.0" w:type="dxa"/>
              <w:bottom w:w="100.0" w:type="dxa"/>
              <w:right w:w="100.0" w:type="dxa"/>
            </w:tcMar>
            <w:vAlign w:val="top"/>
          </w:tcPr>
          <w:p w:rsidR="00000000" w:rsidDel="00000000" w:rsidP="00000000" w:rsidRDefault="00000000" w:rsidRPr="00000000" w14:paraId="0000001F">
            <w:pPr>
              <w:rPr/>
            </w:pPr>
            <w:r w:rsidDel="00000000" w:rsidR="00000000" w:rsidRPr="00000000">
              <w:rPr>
                <w:b w:val="1"/>
                <w:bCs w:val="1"/>
                <w:rtl w:val="0"/>
              </w:rPr>
              <w:t xml:space="preserve">7. Capture / Retrieval</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20">
            <w:pPr>
              <w:rPr/>
            </w:pPr>
            <w:r w:rsidDel="00000000" w:rsidR="00000000" w:rsidRPr="00000000">
              <w:rPr>
                <w:rtl w:val="0"/>
              </w:rPr>
              <w:t xml:space="preserve">With the target drone’s electronics momentarily disabled, the </w:t>
            </w:r>
            <w:r w:rsidDel="00000000" w:rsidR="00000000" w:rsidRPr="00000000">
              <w:rPr>
                <w:b w:val="1"/>
                <w:bCs w:val="1"/>
                <w:rtl w:val="0"/>
              </w:rPr>
              <w:t xml:space="preserve">magnetic guidance heads</w:t>
            </w:r>
            <w:r w:rsidDel="00000000" w:rsidR="00000000" w:rsidRPr="00000000">
              <w:rPr>
                <w:rtl w:val="0"/>
              </w:rPr>
              <w:t xml:space="preserve"> and </w:t>
            </w:r>
            <w:r w:rsidDel="00000000" w:rsidR="00000000" w:rsidRPr="00000000">
              <w:rPr>
                <w:b w:val="1"/>
                <w:bCs w:val="1"/>
                <w:rtl w:val="0"/>
              </w:rPr>
              <w:t xml:space="preserve">micro‑guidance fins</w:t>
            </w:r>
            <w:r w:rsidDel="00000000" w:rsidR="00000000" w:rsidRPr="00000000">
              <w:rPr>
                <w:rtl w:val="0"/>
              </w:rPr>
              <w:t xml:space="preserve"> gently steer the pod to make physical contact. Small </w:t>
            </w:r>
            <w:r w:rsidDel="00000000" w:rsidR="00000000" w:rsidRPr="00000000">
              <w:rPr>
                <w:b w:val="1"/>
                <w:bCs w:val="1"/>
                <w:rtl w:val="0"/>
              </w:rPr>
              <w:t xml:space="preserve">magnetic latches</w:t>
            </w:r>
            <w:r w:rsidDel="00000000" w:rsidR="00000000" w:rsidRPr="00000000">
              <w:rPr>
                <w:rtl w:val="0"/>
              </w:rPr>
              <w:t xml:space="preserve"> on the pod’s surface lock onto the drone’s metal components, securing it for transport back to the launch site.</w:t>
            </w:r>
          </w:p>
        </w:tc>
        <w:tc>
          <w:tcPr>
            <w:tcMar>
              <w:top w:w="100.0" w:type="dxa"/>
              <w:left w:w="100.0" w:type="dxa"/>
              <w:bottom w:w="100.0" w:type="dxa"/>
              <w:right w:w="100.0" w:type="dxa"/>
            </w:tcMar>
            <w:vAlign w:val="top"/>
          </w:tcPr>
          <w:p w:rsidR="00000000" w:rsidDel="00000000" w:rsidP="00000000" w:rsidRDefault="00000000" w:rsidRPr="00000000" w14:paraId="00000021">
            <w:pPr>
              <w:rPr/>
            </w:pPr>
            <w:r w:rsidDel="00000000" w:rsidR="00000000" w:rsidRPr="00000000">
              <w:rPr>
                <w:rtl w:val="0"/>
              </w:rPr>
              <w:t xml:space="preserve">Magnetic guidance heads, micro‑guidance fins</w:t>
            </w:r>
          </w:p>
        </w:tc>
      </w:tr>
      <w:tr>
        <w:trPr>
          <w:cantSplit w:val="0"/>
          <w:trHeight w:val="2225" w:hRule="atLeast"/>
          <w:tblHeader w:val="0"/>
        </w:trPr>
        <w:tc>
          <w:tcPr>
            <w:tcMar>
              <w:top w:w="100.0" w:type="dxa"/>
              <w:left w:w="100.0" w:type="dxa"/>
              <w:bottom w:w="100.0" w:type="dxa"/>
              <w:right w:w="100.0" w:type="dxa"/>
            </w:tcMar>
            <w:vAlign w:val="top"/>
          </w:tcPr>
          <w:p w:rsidR="00000000" w:rsidDel="00000000" w:rsidP="00000000" w:rsidRDefault="00000000" w:rsidRPr="00000000" w14:paraId="00000022">
            <w:pPr>
              <w:rPr/>
            </w:pPr>
            <w:r w:rsidDel="00000000" w:rsidR="00000000" w:rsidRPr="00000000">
              <w:rPr>
                <w:b w:val="1"/>
                <w:bCs w:val="1"/>
                <w:rtl w:val="0"/>
              </w:rPr>
              <w:t xml:space="preserve">8. Power Management</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23">
            <w:pPr>
              <w:rPr/>
            </w:pPr>
            <w:r w:rsidDel="00000000" w:rsidR="00000000" w:rsidRPr="00000000">
              <w:rPr>
                <w:rtl w:val="0"/>
              </w:rPr>
              <w:t xml:space="preserve">During and after the mission, the pod’s </w:t>
            </w:r>
            <w:r w:rsidDel="00000000" w:rsidR="00000000" w:rsidRPr="00000000">
              <w:rPr>
                <w:b w:val="1"/>
                <w:bCs w:val="1"/>
                <w:rtl w:val="0"/>
              </w:rPr>
              <w:t xml:space="preserve">solar trickle charger</w:t>
            </w:r>
            <w:r w:rsidDel="00000000" w:rsidR="00000000" w:rsidRPr="00000000">
              <w:rPr>
                <w:rtl w:val="0"/>
              </w:rPr>
              <w:t xml:space="preserve"> (integrated into the terrain‑mounted launch platform) and </w:t>
            </w:r>
            <w:r w:rsidDel="00000000" w:rsidR="00000000" w:rsidRPr="00000000">
              <w:rPr>
                <w:b w:val="1"/>
                <w:bCs w:val="1"/>
                <w:rtl w:val="0"/>
              </w:rPr>
              <w:t xml:space="preserve">kinetic recharge plate</w:t>
            </w:r>
            <w:r w:rsidDel="00000000" w:rsidR="00000000" w:rsidRPr="00000000">
              <w:rPr>
                <w:rtl w:val="0"/>
              </w:rPr>
              <w:t xml:space="preserve"> (vibration‑sensitive) keep the internal Li‑ion battery topped up, extending the number of consecutive launches possible without manual recharging.</w:t>
            </w:r>
          </w:p>
        </w:tc>
        <w:tc>
          <w:tcPr>
            <w:tcMar>
              <w:top w:w="100.0" w:type="dxa"/>
              <w:left w:w="100.0" w:type="dxa"/>
              <w:bottom w:w="100.0" w:type="dxa"/>
              <w:right w:w="100.0" w:type="dxa"/>
            </w:tcMar>
            <w:vAlign w:val="top"/>
          </w:tcPr>
          <w:p w:rsidR="00000000" w:rsidDel="00000000" w:rsidP="00000000" w:rsidRDefault="00000000" w:rsidRPr="00000000" w14:paraId="00000024">
            <w:pPr>
              <w:rPr/>
            </w:pPr>
            <w:r w:rsidDel="00000000" w:rsidR="00000000" w:rsidRPr="00000000">
              <w:rPr>
                <w:rtl w:val="0"/>
              </w:rPr>
              <w:t xml:space="preserve">Solar trickle charger, kinetic recharge plate</w:t>
            </w:r>
          </w:p>
        </w:tc>
      </w:tr>
      <w:tr>
        <w:trPr>
          <w:cantSplit w:val="0"/>
          <w:trHeight w:val="2510" w:hRule="atLeast"/>
          <w:tblHeader w:val="0"/>
        </w:trPr>
        <w:tc>
          <w:tcPr>
            <w:tcMar>
              <w:top w:w="100.0" w:type="dxa"/>
              <w:left w:w="100.0" w:type="dxa"/>
              <w:bottom w:w="100.0" w:type="dxa"/>
              <w:right w:w="100.0" w:type="dxa"/>
            </w:tcMar>
            <w:vAlign w:val="top"/>
          </w:tcPr>
          <w:p w:rsidR="00000000" w:rsidDel="00000000" w:rsidP="00000000" w:rsidRDefault="00000000" w:rsidRPr="00000000" w14:paraId="00000025">
            <w:pPr>
              <w:rPr/>
            </w:pPr>
            <w:r w:rsidDel="00000000" w:rsidR="00000000" w:rsidRPr="00000000">
              <w:rPr>
                <w:b w:val="1"/>
                <w:bCs w:val="1"/>
                <w:rtl w:val="0"/>
              </w:rPr>
              <w:t xml:space="preserve">9. Signal Boost &amp; Coordination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26">
            <w:pPr>
              <w:rPr/>
            </w:pPr>
            <w:r w:rsidDel="00000000" w:rsidR="00000000" w:rsidRPr="00000000">
              <w:rPr>
                <w:rtl w:val="0"/>
              </w:rPr>
              <w:t xml:space="preserve">If multiple launchers are deployed in a network, the </w:t>
            </w:r>
            <w:r w:rsidDel="00000000" w:rsidR="00000000" w:rsidRPr="00000000">
              <w:rPr>
                <w:b w:val="1"/>
                <w:bCs w:val="1"/>
                <w:rtl w:val="0"/>
              </w:rPr>
              <w:t xml:space="preserve">military‑grade signal booster</w:t>
            </w:r>
            <w:r w:rsidDel="00000000" w:rsidR="00000000" w:rsidRPr="00000000">
              <w:rPr>
                <w:rtl w:val="0"/>
              </w:rPr>
              <w:t xml:space="preserve"> amplifies the coordination signals between them, while the </w:t>
            </w:r>
            <w:r w:rsidDel="00000000" w:rsidR="00000000" w:rsidRPr="00000000">
              <w:rPr>
                <w:b w:val="1"/>
                <w:bCs w:val="1"/>
                <w:rtl w:val="0"/>
              </w:rPr>
              <w:t xml:space="preserve">EM frequency burst emitter</w:t>
            </w:r>
            <w:r w:rsidDel="00000000" w:rsidR="00000000" w:rsidRPr="00000000">
              <w:rPr>
                <w:rtl w:val="0"/>
              </w:rPr>
              <w:t xml:space="preserve"> keeps the whole system synchronized with the central </w:t>
            </w:r>
            <w:r w:rsidDel="00000000" w:rsidR="00000000" w:rsidRPr="00000000">
              <w:rPr>
                <w:b w:val="1"/>
                <w:bCs w:val="1"/>
                <w:rtl w:val="0"/>
              </w:rPr>
              <w:t xml:space="preserve">terrain‑sync node</w:t>
            </w:r>
            <w:r w:rsidDel="00000000" w:rsidR="00000000" w:rsidRPr="00000000">
              <w:rPr>
                <w:rtl w:val="0"/>
              </w:rPr>
              <w:t xml:space="preserve">. This ensures that several pods can work together without interfering with each other.</w:t>
            </w:r>
          </w:p>
        </w:tc>
        <w:tc>
          <w:tcPr>
            <w:tcMar>
              <w:top w:w="100.0" w:type="dxa"/>
              <w:left w:w="100.0" w:type="dxa"/>
              <w:bottom w:w="100.0" w:type="dxa"/>
              <w:right w:w="100.0" w:type="dxa"/>
            </w:tcMar>
            <w:vAlign w:val="top"/>
          </w:tcPr>
          <w:p w:rsidR="00000000" w:rsidDel="00000000" w:rsidP="00000000" w:rsidRDefault="00000000" w:rsidRPr="00000000" w14:paraId="00000027">
            <w:pPr>
              <w:rPr/>
            </w:pPr>
            <w:r w:rsidDel="00000000" w:rsidR="00000000" w:rsidRPr="00000000">
              <w:rPr>
                <w:rtl w:val="0"/>
              </w:rPr>
              <w:t xml:space="preserve">Military‑grade signal booster, EM frequency burst emitter, terrain‑sync node</w:t>
            </w:r>
          </w:p>
        </w:tc>
      </w:tr>
      <w:tr>
        <w:trPr>
          <w:cantSplit w:val="0"/>
          <w:trHeight w:val="2225" w:hRule="atLeast"/>
          <w:tblHeader w:val="0"/>
        </w:trPr>
        <w:tc>
          <w:tcPr>
            <w:tcMar>
              <w:top w:w="100.0" w:type="dxa"/>
              <w:left w:w="100.0" w:type="dxa"/>
              <w:bottom w:w="100.0" w:type="dxa"/>
              <w:right w:w="100.0" w:type="dxa"/>
            </w:tcMar>
            <w:vAlign w:val="top"/>
          </w:tcPr>
          <w:p w:rsidR="00000000" w:rsidDel="00000000" w:rsidP="00000000" w:rsidRDefault="00000000" w:rsidRPr="00000000" w14:paraId="00000028">
            <w:pPr>
              <w:rPr/>
            </w:pPr>
            <w:r w:rsidDel="00000000" w:rsidR="00000000" w:rsidRPr="00000000">
              <w:rPr>
                <w:b w:val="1"/>
                <w:bCs w:val="1"/>
                <w:rtl w:val="0"/>
              </w:rPr>
              <w:t xml:space="preserve">10. After‑effect Management</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29">
            <w:pPr>
              <w:rPr/>
            </w:pPr>
            <w:r w:rsidDel="00000000" w:rsidR="00000000" w:rsidRPr="00000000">
              <w:rPr>
                <w:rtl w:val="0"/>
              </w:rPr>
              <w:t xml:space="preserve">Once a drone has been captured, the </w:t>
            </w:r>
            <w:r w:rsidDel="00000000" w:rsidR="00000000" w:rsidRPr="00000000">
              <w:rPr>
                <w:b w:val="1"/>
                <w:bCs w:val="1"/>
                <w:rtl w:val="0"/>
              </w:rPr>
              <w:t xml:space="preserve">aftershock propagation coil</w:t>
            </w:r>
            <w:r w:rsidDel="00000000" w:rsidR="00000000" w:rsidRPr="00000000">
              <w:rPr>
                <w:rtl w:val="0"/>
              </w:rPr>
              <w:t xml:space="preserve"> (40 m tuned extension) can be used to generate a harmless low‑frequency magnetic field that helps demagnetize any residual charge on the captured drone, preventing accidental re‑activation during transport.</w:t>
            </w:r>
          </w:p>
        </w:tc>
        <w:tc>
          <w:tcPr>
            <w:tcMar>
              <w:top w:w="100.0" w:type="dxa"/>
              <w:left w:w="100.0" w:type="dxa"/>
              <w:bottom w:w="100.0" w:type="dxa"/>
              <w:right w:w="100.0" w:type="dxa"/>
            </w:tcMar>
            <w:vAlign w:val="top"/>
          </w:tcPr>
          <w:p w:rsidR="00000000" w:rsidDel="00000000" w:rsidP="00000000" w:rsidRDefault="00000000" w:rsidRPr="00000000" w14:paraId="0000002A">
            <w:pPr>
              <w:rPr/>
            </w:pPr>
            <w:r w:rsidDel="00000000" w:rsidR="00000000" w:rsidRPr="00000000">
              <w:rPr>
                <w:rtl w:val="0"/>
              </w:rPr>
              <w:t xml:space="preserve">Aftershock propagation coil</w:t>
            </w:r>
          </w:p>
        </w:tc>
      </w:tr>
    </w:tbl>
    <w:p w:rsidR="00000000" w:rsidDel="00000000" w:rsidP="00000000" w:rsidRDefault="00000000" w:rsidRPr="00000000" w14:paraId="0000002B">
      <w:pPr>
        <w:pStyle w:val="Heading3"/>
        <w:keepNext w:val="0"/>
        <w:keepLines w:val="0"/>
        <w:spacing w:before="280" w:lineRule="auto"/>
        <w:rPr>
          <w:b w:val="1"/>
          <w:bCs w:val="1"/>
          <w:color w:val="000000"/>
          <w:sz w:val="26"/>
          <w:szCs w:val="26"/>
        </w:rPr>
      </w:pPr>
      <w:bookmarkStart w:colFirst="0" w:colLast="0" w:name="_5rgbdhn3m05z" w:id="0"/>
      <w:bookmarkEnd w:id="0"/>
      <w:r w:rsidDel="00000000" w:rsidR="00000000" w:rsidRPr="00000000">
        <w:rPr>
          <w:b w:val="1"/>
          <w:bCs w:val="1"/>
          <w:color w:val="000000"/>
          <w:sz w:val="26"/>
          <w:szCs w:val="26"/>
          <w:rtl w:val="0"/>
        </w:rPr>
        <w:t xml:space="preserve">How the System Behaves as a Whole</w:t>
      </w:r>
    </w:p>
    <w:p w:rsidR="00000000" w:rsidDel="00000000" w:rsidP="00000000" w:rsidRDefault="00000000" w:rsidRPr="00000000" w14:paraId="0000002C">
      <w:pPr>
        <w:numPr>
          <w:ilvl w:val="0"/>
          <w:numId w:val="1"/>
        </w:numPr>
        <w:spacing w:after="0" w:afterAutospacing="0" w:before="240" w:lineRule="auto"/>
        <w:ind w:left="720" w:hanging="360"/>
      </w:pPr>
      <w:r w:rsidDel="00000000" w:rsidR="00000000" w:rsidRPr="00000000">
        <w:rPr>
          <w:b w:val="1"/>
          <w:bCs w:val="1"/>
          <w:rtl w:val="0"/>
        </w:rPr>
        <w:t xml:space="preserve">Rapid, repeatable deployment</w:t>
      </w:r>
      <w:r w:rsidDel="00000000" w:rsidR="00000000" w:rsidRPr="00000000">
        <w:rPr>
          <w:rtl w:val="0"/>
        </w:rPr>
        <w:t xml:space="preserve"> – The pneumatic spooler can fire a new pod every few seconds, allowing a “burst” of capture attempts.</w:t>
      </w:r>
    </w:p>
    <w:p w:rsidR="00000000" w:rsidDel="00000000" w:rsidP="00000000" w:rsidRDefault="00000000" w:rsidRPr="00000000" w14:paraId="0000002D">
      <w:pPr>
        <w:numPr>
          <w:ilvl w:val="0"/>
          <w:numId w:val="1"/>
        </w:numPr>
        <w:spacing w:after="0" w:afterAutospacing="0" w:before="0" w:beforeAutospacing="0" w:lineRule="auto"/>
        <w:ind w:left="720" w:hanging="360"/>
      </w:pPr>
      <w:r w:rsidDel="00000000" w:rsidR="00000000" w:rsidRPr="00000000">
        <w:rPr>
          <w:b w:val="1"/>
          <w:bCs w:val="1"/>
          <w:rtl w:val="0"/>
        </w:rPr>
        <w:t xml:space="preserve">Self‑contained power</w:t>
      </w:r>
      <w:r w:rsidDel="00000000" w:rsidR="00000000" w:rsidRPr="00000000">
        <w:rPr>
          <w:rtl w:val="0"/>
        </w:rPr>
        <w:t xml:space="preserve"> – The terrain‑sealed battery, solar trickle charger, and vibration‑responsive kinetic plate keep the launcher operational for extended periods without external power.</w:t>
      </w:r>
    </w:p>
    <w:p w:rsidR="00000000" w:rsidDel="00000000" w:rsidP="00000000" w:rsidRDefault="00000000" w:rsidRPr="00000000" w14:paraId="0000002E">
      <w:pPr>
        <w:numPr>
          <w:ilvl w:val="0"/>
          <w:numId w:val="1"/>
        </w:numPr>
        <w:spacing w:after="0" w:afterAutospacing="0" w:before="0" w:beforeAutospacing="0" w:lineRule="auto"/>
        <w:ind w:left="720" w:hanging="360"/>
      </w:pPr>
      <w:r w:rsidDel="00000000" w:rsidR="00000000" w:rsidRPr="00000000">
        <w:rPr>
          <w:b w:val="1"/>
          <w:bCs w:val="1"/>
          <w:rtl w:val="0"/>
        </w:rPr>
        <w:t xml:space="preserve">Stealthy approach</w:t>
      </w:r>
      <w:r w:rsidDel="00000000" w:rsidR="00000000" w:rsidRPr="00000000">
        <w:rPr>
          <w:rtl w:val="0"/>
        </w:rPr>
        <w:t xml:space="preserve"> – Camouflage mesh + vegetation overlay + low‑signature acoustic and magnetic guidance make the pod difficult for the target drone’s avoidance systems to detect until it is already within capture range.</w:t>
      </w:r>
    </w:p>
    <w:p w:rsidR="00000000" w:rsidDel="00000000" w:rsidP="00000000" w:rsidRDefault="00000000" w:rsidRPr="00000000" w14:paraId="0000002F">
      <w:pPr>
        <w:numPr>
          <w:ilvl w:val="0"/>
          <w:numId w:val="1"/>
        </w:numPr>
        <w:spacing w:after="0" w:afterAutospacing="0" w:before="0" w:beforeAutospacing="0" w:lineRule="auto"/>
        <w:ind w:left="720" w:hanging="360"/>
      </w:pPr>
      <w:r w:rsidDel="00000000" w:rsidR="00000000" w:rsidRPr="00000000">
        <w:rPr>
          <w:b w:val="1"/>
          <w:bCs w:val="1"/>
          <w:rtl w:val="0"/>
        </w:rPr>
        <w:t xml:space="preserve">Controlled electronic interference</w:t>
      </w:r>
      <w:r w:rsidDel="00000000" w:rsidR="00000000" w:rsidRPr="00000000">
        <w:rPr>
          <w:rtl w:val="0"/>
        </w:rPr>
        <w:t xml:space="preserve"> – The localized EMP spike is deliberately low‑energy and brief, designed only to create a temporary loss of control in the target drone, which is sufficient for the pod’s magnetic latches to engage.</w:t>
      </w:r>
    </w:p>
    <w:p w:rsidR="00000000" w:rsidDel="00000000" w:rsidP="00000000" w:rsidRDefault="00000000" w:rsidRPr="00000000" w14:paraId="00000030">
      <w:pPr>
        <w:numPr>
          <w:ilvl w:val="0"/>
          <w:numId w:val="1"/>
        </w:numPr>
        <w:spacing w:after="240" w:before="0" w:beforeAutospacing="0" w:lineRule="auto"/>
        <w:ind w:left="720" w:hanging="360"/>
      </w:pPr>
      <w:r w:rsidDel="00000000" w:rsidR="00000000" w:rsidRPr="00000000">
        <w:rPr>
          <w:b w:val="1"/>
          <w:bCs w:val="1"/>
          <w:rtl w:val="0"/>
        </w:rPr>
        <w:t xml:space="preserve">Networked operation</w:t>
      </w:r>
      <w:r w:rsidDel="00000000" w:rsidR="00000000" w:rsidRPr="00000000">
        <w:rPr>
          <w:rtl w:val="0"/>
        </w:rPr>
        <w:t xml:space="preserve"> – Multiple launch stations can be linked through the terrain‑sync node and signal booster, coordinating launch timing and ensuring that overlapping EMP bursts do not interfere with each other.</w:t>
      </w:r>
    </w:p>
    <w:p w:rsidR="00000000" w:rsidDel="00000000" w:rsidP="00000000" w:rsidRDefault="00000000" w:rsidRPr="00000000" w14:paraId="00000031">
      <w:pPr>
        <w:pStyle w:val="Heading3"/>
        <w:keepNext w:val="0"/>
        <w:keepLines w:val="0"/>
        <w:spacing w:before="280" w:lineRule="auto"/>
        <w:rPr>
          <w:b w:val="1"/>
          <w:bCs w:val="1"/>
          <w:color w:val="000000"/>
          <w:sz w:val="26"/>
          <w:szCs w:val="26"/>
        </w:rPr>
      </w:pPr>
      <w:bookmarkStart w:colFirst="0" w:colLast="0" w:name="_rpox8qcnkag2" w:id="1"/>
      <w:bookmarkEnd w:id="1"/>
      <w:r w:rsidDel="00000000" w:rsidR="00000000" w:rsidRPr="00000000">
        <w:rPr>
          <w:b w:val="1"/>
          <w:bCs w:val="1"/>
          <w:color w:val="000000"/>
          <w:sz w:val="26"/>
          <w:szCs w:val="26"/>
          <w:rtl w:val="0"/>
        </w:rPr>
        <w:t xml:space="preserve">Potential Use Cases (Non‑Weaponized)</w:t>
      </w:r>
    </w:p>
    <w:tbl>
      <w:tblPr>
        <w:tblStyle w:val="Table2"/>
        <w:tblW w:w="9360.0" w:type="dxa"/>
        <w:jc w:val="left"/>
        <w:tblLayout w:type="fixed"/>
        <w:tblLook w:val="0600"/>
      </w:tblPr>
      <w:tblGrid>
        <w:gridCol w:w="6268.033826638477"/>
        <w:gridCol w:w="3091.966173361522"/>
        <w:tblGridChange w:id="0">
          <w:tblGrid>
            <w:gridCol w:w="6268.033826638477"/>
            <w:gridCol w:w="3091.966173361522"/>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2">
            <w:pP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rPr/>
            </w:pPr>
            <w:r w:rsidDel="00000000" w:rsidR="00000000" w:rsidRPr="00000000">
              <w:rPr>
                <w:rtl w:val="0"/>
              </w:rPr>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034">
            <w:pPr>
              <w:rPr/>
            </w:pPr>
            <w:r w:rsidDel="00000000" w:rsidR="00000000" w:rsidRPr="00000000">
              <w:rPr>
                <w:rtl w:val="0"/>
              </w:rPr>
              <w:t xml:space="preserve">Scenario</w:t>
            </w:r>
          </w:p>
        </w:tc>
        <w:tc>
          <w:tcPr>
            <w:tcMar>
              <w:top w:w="100.0" w:type="dxa"/>
              <w:left w:w="100.0" w:type="dxa"/>
              <w:bottom w:w="100.0" w:type="dxa"/>
              <w:right w:w="100.0" w:type="dxa"/>
            </w:tcMar>
            <w:vAlign w:val="top"/>
          </w:tcPr>
          <w:p w:rsidR="00000000" w:rsidDel="00000000" w:rsidP="00000000" w:rsidRDefault="00000000" w:rsidRPr="00000000" w14:paraId="00000035">
            <w:pPr>
              <w:rPr/>
            </w:pPr>
            <w:r w:rsidDel="00000000" w:rsidR="00000000" w:rsidRPr="00000000">
              <w:rPr>
                <w:rtl w:val="0"/>
              </w:rPr>
              <w:t xml:space="preserve">Benefit</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036">
            <w:pPr>
              <w:rPr/>
            </w:pPr>
            <w:r w:rsidDel="00000000" w:rsidR="00000000" w:rsidRPr="00000000">
              <w:rPr>
                <w:b w:val="1"/>
                <w:bCs w:val="1"/>
                <w:rtl w:val="0"/>
              </w:rPr>
              <w:t xml:space="preserve">Secure perimeter monitoring</w:t>
            </w:r>
            <w:r w:rsidDel="00000000" w:rsidR="00000000" w:rsidRPr="00000000">
              <w:rPr>
                <w:rtl w:val="0"/>
              </w:rPr>
              <w:t xml:space="preserve"> – Deploy a ring of launchers around a high‑value site to capture any unauthorized UAV that approaches.</w:t>
            </w:r>
          </w:p>
        </w:tc>
        <w:tc>
          <w:tcPr>
            <w:tcMar>
              <w:top w:w="100.0" w:type="dxa"/>
              <w:left w:w="100.0" w:type="dxa"/>
              <w:bottom w:w="100.0" w:type="dxa"/>
              <w:right w:w="100.0" w:type="dxa"/>
            </w:tcMar>
            <w:vAlign w:val="top"/>
          </w:tcPr>
          <w:p w:rsidR="00000000" w:rsidDel="00000000" w:rsidP="00000000" w:rsidRDefault="00000000" w:rsidRPr="00000000" w14:paraId="00000037">
            <w:pPr>
              <w:rPr/>
            </w:pPr>
            <w:r w:rsidDel="00000000" w:rsidR="00000000" w:rsidRPr="00000000">
              <w:rPr>
                <w:rtl w:val="0"/>
              </w:rPr>
              <w:t xml:space="preserve">Adds a physical layer of security without lethal force.</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038">
            <w:pPr>
              <w:rPr/>
            </w:pPr>
            <w:r w:rsidDel="00000000" w:rsidR="00000000" w:rsidRPr="00000000">
              <w:rPr>
                <w:b w:val="1"/>
                <w:bCs w:val="1"/>
                <w:rtl w:val="0"/>
              </w:rPr>
              <w:t xml:space="preserve">Wildlife / environmental monitoring</w:t>
            </w:r>
            <w:r w:rsidDel="00000000" w:rsidR="00000000" w:rsidRPr="00000000">
              <w:rPr>
                <w:rtl w:val="0"/>
              </w:rPr>
              <w:t xml:space="preserve"> – Intercept research drones that drift into protected zones, retrieve them for data download, and return them safely.</w:t>
            </w:r>
          </w:p>
        </w:tc>
        <w:tc>
          <w:tcPr>
            <w:tcMar>
              <w:top w:w="100.0" w:type="dxa"/>
              <w:left w:w="100.0" w:type="dxa"/>
              <w:bottom w:w="100.0" w:type="dxa"/>
              <w:right w:w="100.0" w:type="dxa"/>
            </w:tcMar>
            <w:vAlign w:val="top"/>
          </w:tcPr>
          <w:p w:rsidR="00000000" w:rsidDel="00000000" w:rsidP="00000000" w:rsidRDefault="00000000" w:rsidRPr="00000000" w14:paraId="00000039">
            <w:pPr>
              <w:rPr/>
            </w:pPr>
            <w:r w:rsidDel="00000000" w:rsidR="00000000" w:rsidRPr="00000000">
              <w:rPr>
                <w:rtl w:val="0"/>
              </w:rPr>
              <w:t xml:space="preserve">Protects sensitive habitats while preserving expensive equipment.</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03A">
            <w:pPr>
              <w:rPr/>
            </w:pPr>
            <w:r w:rsidDel="00000000" w:rsidR="00000000" w:rsidRPr="00000000">
              <w:rPr>
                <w:b w:val="1"/>
                <w:bCs w:val="1"/>
                <w:rtl w:val="0"/>
              </w:rPr>
              <w:t xml:space="preserve">Industrial site safety</w:t>
            </w:r>
            <w:r w:rsidDel="00000000" w:rsidR="00000000" w:rsidRPr="00000000">
              <w:rPr>
                <w:rtl w:val="0"/>
              </w:rPr>
              <w:t xml:space="preserve"> – Capture inspection drones that lose contact or enter hazardous zones (e.g., near high‑voltage equipment).</w:t>
            </w:r>
          </w:p>
        </w:tc>
        <w:tc>
          <w:tcPr>
            <w:tcMar>
              <w:top w:w="100.0" w:type="dxa"/>
              <w:left w:w="100.0" w:type="dxa"/>
              <w:bottom w:w="100.0" w:type="dxa"/>
              <w:right w:w="100.0" w:type="dxa"/>
            </w:tcMar>
            <w:vAlign w:val="top"/>
          </w:tcPr>
          <w:p w:rsidR="00000000" w:rsidDel="00000000" w:rsidP="00000000" w:rsidRDefault="00000000" w:rsidRPr="00000000" w14:paraId="0000003B">
            <w:pPr>
              <w:rPr/>
            </w:pPr>
            <w:r w:rsidDel="00000000" w:rsidR="00000000" w:rsidRPr="00000000">
              <w:rPr>
                <w:rtl w:val="0"/>
              </w:rPr>
              <w:t xml:space="preserve">Prevents loss of equipment and reduces downtime.</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03C">
            <w:pPr>
              <w:rPr/>
            </w:pPr>
            <w:r w:rsidDel="00000000" w:rsidR="00000000" w:rsidRPr="00000000">
              <w:rPr>
                <w:b w:val="1"/>
                <w:bCs w:val="1"/>
                <w:rtl w:val="0"/>
              </w:rPr>
              <w:t xml:space="preserve">Event crowd‑control</w:t>
            </w:r>
            <w:r w:rsidDel="00000000" w:rsidR="00000000" w:rsidRPr="00000000">
              <w:rPr>
                <w:rtl w:val="0"/>
              </w:rPr>
              <w:t xml:space="preserve"> – Quickly neutralize rogue hobby drones over concerts or sporting events, then recover them for inspection.</w:t>
            </w:r>
          </w:p>
        </w:tc>
        <w:tc>
          <w:tcPr>
            <w:tcMar>
              <w:top w:w="100.0" w:type="dxa"/>
              <w:left w:w="100.0" w:type="dxa"/>
              <w:bottom w:w="100.0" w:type="dxa"/>
              <w:right w:w="100.0" w:type="dxa"/>
            </w:tcMar>
            <w:vAlign w:val="top"/>
          </w:tcPr>
          <w:p w:rsidR="00000000" w:rsidDel="00000000" w:rsidP="00000000" w:rsidRDefault="00000000" w:rsidRPr="00000000" w14:paraId="0000003D">
            <w:pPr>
              <w:rPr/>
            </w:pPr>
            <w:r w:rsidDel="00000000" w:rsidR="00000000" w:rsidRPr="00000000">
              <w:rPr>
                <w:rtl w:val="0"/>
              </w:rPr>
              <w:t xml:space="preserve">Maintains safety and privacy for attendees.</w:t>
            </w:r>
          </w:p>
        </w:tc>
      </w:tr>
    </w:tbl>
    <w:p w:rsidR="00000000" w:rsidDel="00000000" w:rsidP="00000000" w:rsidRDefault="00000000" w:rsidRPr="00000000" w14:paraId="0000003E">
      <w:pPr>
        <w:pStyle w:val="Heading3"/>
        <w:keepNext w:val="0"/>
        <w:keepLines w:val="0"/>
        <w:spacing w:before="280" w:lineRule="auto"/>
        <w:rPr>
          <w:b w:val="1"/>
          <w:bCs w:val="1"/>
          <w:color w:val="000000"/>
          <w:sz w:val="26"/>
          <w:szCs w:val="26"/>
        </w:rPr>
      </w:pPr>
      <w:bookmarkStart w:colFirst="0" w:colLast="0" w:name="_i1q4wotqojwy" w:id="2"/>
      <w:bookmarkEnd w:id="2"/>
      <w:r w:rsidDel="00000000" w:rsidR="00000000" w:rsidRPr="00000000">
        <w:rPr>
          <w:b w:val="1"/>
          <w:bCs w:val="1"/>
          <w:color w:val="000000"/>
          <w:sz w:val="26"/>
          <w:szCs w:val="26"/>
          <w:rtl w:val="0"/>
        </w:rPr>
        <w:t xml:space="preserve">Safety &amp; Compliance Notes</w:t>
      </w:r>
    </w:p>
    <w:p w:rsidR="00000000" w:rsidDel="00000000" w:rsidP="00000000" w:rsidRDefault="00000000" w:rsidRPr="00000000" w14:paraId="0000003F">
      <w:pPr>
        <w:numPr>
          <w:ilvl w:val="0"/>
          <w:numId w:val="2"/>
        </w:numPr>
        <w:spacing w:after="0" w:afterAutospacing="0" w:before="240" w:lineRule="auto"/>
        <w:ind w:left="720" w:hanging="360"/>
      </w:pPr>
      <w:r w:rsidDel="00000000" w:rsidR="00000000" w:rsidRPr="00000000">
        <w:rPr>
          <w:b w:val="1"/>
          <w:bCs w:val="1"/>
          <w:rtl w:val="0"/>
        </w:rPr>
        <w:t xml:space="preserve">EMP spike</w:t>
      </w:r>
      <w:r w:rsidDel="00000000" w:rsidR="00000000" w:rsidRPr="00000000">
        <w:rPr>
          <w:rtl w:val="0"/>
        </w:rPr>
        <w:t xml:space="preserve">: Must be limited to the minimum field strength required to disrupt a target’s control link. Verify that the pulse complies with local regulations on electromagnetic emissions.</w:t>
      </w:r>
    </w:p>
    <w:p w:rsidR="00000000" w:rsidDel="00000000" w:rsidP="00000000" w:rsidRDefault="00000000" w:rsidRPr="00000000" w14:paraId="00000040">
      <w:pPr>
        <w:numPr>
          <w:ilvl w:val="0"/>
          <w:numId w:val="2"/>
        </w:numPr>
        <w:spacing w:after="0" w:afterAutospacing="0" w:before="0" w:beforeAutospacing="0" w:lineRule="auto"/>
        <w:ind w:left="720" w:hanging="360"/>
      </w:pPr>
      <w:r w:rsidDel="00000000" w:rsidR="00000000" w:rsidRPr="00000000">
        <w:rPr>
          <w:b w:val="1"/>
          <w:bCs w:val="1"/>
          <w:rtl w:val="0"/>
        </w:rPr>
        <w:t xml:space="preserve">Magnetic capture</w:t>
      </w:r>
      <w:r w:rsidDel="00000000" w:rsidR="00000000" w:rsidRPr="00000000">
        <w:rPr>
          <w:rtl w:val="0"/>
        </w:rPr>
        <w:t xml:space="preserve">: Ensure the magnetic force is strong enough to hold the drone but not so strong that it damages delicate avionics or propellers.</w:t>
      </w:r>
    </w:p>
    <w:p w:rsidR="00000000" w:rsidDel="00000000" w:rsidP="00000000" w:rsidRDefault="00000000" w:rsidRPr="00000000" w14:paraId="00000041">
      <w:pPr>
        <w:numPr>
          <w:ilvl w:val="0"/>
          <w:numId w:val="2"/>
        </w:numPr>
        <w:spacing w:after="0" w:afterAutospacing="0" w:before="0" w:beforeAutospacing="0" w:lineRule="auto"/>
        <w:ind w:left="720" w:hanging="360"/>
      </w:pPr>
      <w:r w:rsidDel="00000000" w:rsidR="00000000" w:rsidRPr="00000000">
        <w:rPr>
          <w:b w:val="1"/>
          <w:bCs w:val="1"/>
          <w:rtl w:val="0"/>
        </w:rPr>
        <w:t xml:space="preserve">Camouflage materials</w:t>
      </w:r>
      <w:r w:rsidDel="00000000" w:rsidR="00000000" w:rsidRPr="00000000">
        <w:rPr>
          <w:rtl w:val="0"/>
        </w:rPr>
        <w:t xml:space="preserve">: Use environmentally benign composites for the mesh and vegetation overlay to avoid ecological impact.</w:t>
      </w:r>
    </w:p>
    <w:p w:rsidR="00000000" w:rsidDel="00000000" w:rsidP="00000000" w:rsidRDefault="00000000" w:rsidRPr="00000000" w14:paraId="00000042">
      <w:pPr>
        <w:numPr>
          <w:ilvl w:val="0"/>
          <w:numId w:val="2"/>
        </w:numPr>
        <w:spacing w:after="240" w:before="0" w:beforeAutospacing="0" w:lineRule="auto"/>
        <w:ind w:left="720" w:hanging="360"/>
      </w:pPr>
      <w:r w:rsidDel="00000000" w:rsidR="00000000" w:rsidRPr="00000000">
        <w:rPr>
          <w:b w:val="1"/>
          <w:bCs w:val="1"/>
          <w:rtl w:val="0"/>
        </w:rPr>
        <w:t xml:space="preserve">Power sources</w:t>
      </w:r>
      <w:r w:rsidDel="00000000" w:rsidR="00000000" w:rsidRPr="00000000">
        <w:rPr>
          <w:rtl w:val="0"/>
        </w:rPr>
        <w:t xml:space="preserve">: The Li‑ion cells should be rated for the temperature extremes of the deployment environment and housed in a rugged, sealed enclosure to prevent short‑circuits.</w:t>
      </w:r>
    </w:p>
    <w:p w:rsidR="00000000" w:rsidDel="00000000" w:rsidP="00000000" w:rsidRDefault="00000000" w:rsidRPr="00000000" w14:paraId="00000043">
      <w:pPr>
        <w:rPr/>
      </w:pPr>
      <w:r w:rsidDel="00000000" w:rsidR="00000000" w:rsidRPr="00000000">
        <w:rPr>
          <w:b w:val="1"/>
          <w:bCs w:val="1"/>
          <w:rtl w:val="0"/>
        </w:rPr>
        <w:t xml:space="preserve">In short:</w:t>
      </w:r>
      <w:r w:rsidDel="00000000" w:rsidR="00000000" w:rsidRPr="00000000">
        <w:rPr>
          <w:rtl w:val="0"/>
        </w:rPr>
        <w:t xml:space="preserve"> The assembly works as an </w:t>
      </w:r>
      <w:r w:rsidDel="00000000" w:rsidR="00000000" w:rsidRPr="00000000">
        <w:rPr>
          <w:b w:val="1"/>
          <w:bCs w:val="1"/>
          <w:rtl w:val="0"/>
        </w:rPr>
        <w:t xml:space="preserve">automated, low‑signature drone‑capture system</w:t>
      </w:r>
      <w:r w:rsidDel="00000000" w:rsidR="00000000" w:rsidRPr="00000000">
        <w:rPr>
          <w:rtl w:val="0"/>
        </w:rPr>
        <w:t xml:space="preserve">. A pneumatic launch propels a sensor‑rich pod that uses magnetic and infrared cues to locate a drone, temporarily disables its electronics with a brief EMP burst, then physically secures it with magnetic latches—all while staying powered by onboard batteries, solar trickle charging, and kinetic energy harvesting. The system can be networked for larger‑scale operations and is designed for safe, non‑lethal retrieval of aerial assets.</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